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52" w:rsidRDefault="000E3C9E">
      <w:pPr>
        <w:jc w:val="center"/>
        <w:rPr>
          <w:b/>
        </w:rPr>
      </w:pPr>
      <w:r>
        <w:rPr>
          <w:b/>
        </w:rPr>
        <w:t>Методичні рекомендації про викладання трудового навчання (технології) та креслення у 2021/2022 навчальному році</w:t>
      </w:r>
    </w:p>
    <w:p w:rsidR="000E3C9E" w:rsidRPr="00872C5C" w:rsidRDefault="000E3C9E" w:rsidP="000E3C9E">
      <w:pPr>
        <w:spacing w:after="0" w:line="340" w:lineRule="auto"/>
        <w:jc w:val="right"/>
        <w:rPr>
          <w:b/>
          <w:bCs/>
        </w:rPr>
      </w:pPr>
      <w:r w:rsidRPr="00872C5C">
        <w:rPr>
          <w:b/>
          <w:bCs/>
        </w:rPr>
        <w:t>Коцур Т.О.,</w:t>
      </w:r>
    </w:p>
    <w:p w:rsidR="000E3C9E" w:rsidRDefault="000E3C9E" w:rsidP="000E3C9E">
      <w:pPr>
        <w:spacing w:after="0" w:line="340" w:lineRule="auto"/>
        <w:jc w:val="right"/>
      </w:pPr>
      <w:r>
        <w:t>методист</w:t>
      </w:r>
    </w:p>
    <w:p w:rsidR="000E3C9E" w:rsidRPr="00872C5C" w:rsidRDefault="000E3C9E" w:rsidP="000E3C9E">
      <w:pPr>
        <w:spacing w:after="0" w:line="340" w:lineRule="auto"/>
        <w:jc w:val="right"/>
      </w:pPr>
      <w:r>
        <w:t>НМЦ природничо-математичних дисциплін</w:t>
      </w:r>
    </w:p>
    <w:p w:rsidR="00F94B52" w:rsidRDefault="00F94B52">
      <w:pPr>
        <w:jc w:val="both"/>
      </w:pPr>
    </w:p>
    <w:p w:rsidR="00F94B52" w:rsidRDefault="000E3C9E">
      <w:pPr>
        <w:jc w:val="center"/>
        <w:rPr>
          <w:b/>
        </w:rPr>
      </w:pPr>
      <w:r>
        <w:rPr>
          <w:b/>
        </w:rPr>
        <w:t>Трудове навчання 5-9 класи</w:t>
      </w:r>
    </w:p>
    <w:p w:rsidR="00F94B52" w:rsidRDefault="000E3C9E">
      <w:pPr>
        <w:pBdr>
          <w:top w:val="nil"/>
          <w:left w:val="nil"/>
          <w:bottom w:val="nil"/>
          <w:right w:val="nil"/>
          <w:between w:val="nil"/>
        </w:pBdr>
        <w:spacing w:after="0" w:line="240" w:lineRule="auto"/>
        <w:ind w:firstLine="720"/>
        <w:jc w:val="both"/>
        <w:rPr>
          <w:color w:val="000000"/>
        </w:rPr>
      </w:pPr>
      <w:r>
        <w:rPr>
          <w:color w:val="000000"/>
        </w:rPr>
        <w:t xml:space="preserve">Метою трудового навчання є формування технічно, технологічно освіченої особистості, підготовленої до життя та активної трудової діяльності в умовах сучасного високотехнологічного інформаційного суспільства, життєво необхідних знань, умінь і навичок ведення домашнього господарства, забезпечення умов для професійного самовизначення учнів, вироблення в них навичок творчої діяльності, виховання культури праці. </w:t>
      </w:r>
    </w:p>
    <w:p w:rsidR="00F94B52" w:rsidRDefault="000E3C9E">
      <w:pPr>
        <w:pBdr>
          <w:top w:val="nil"/>
          <w:left w:val="nil"/>
          <w:bottom w:val="nil"/>
          <w:right w:val="nil"/>
          <w:between w:val="nil"/>
        </w:pBdr>
        <w:spacing w:after="0" w:line="240" w:lineRule="auto"/>
        <w:ind w:firstLine="708"/>
        <w:jc w:val="both"/>
        <w:rPr>
          <w:color w:val="000000"/>
        </w:rPr>
      </w:pPr>
      <w:r>
        <w:rPr>
          <w:color w:val="000000"/>
        </w:rPr>
        <w:t xml:space="preserve"> Трудове навчання в сучасній школі сприяє формуванню в учнів компетентностей, а саме: </w:t>
      </w:r>
    </w:p>
    <w:p w:rsidR="00F94B52" w:rsidRDefault="000E3C9E">
      <w:pPr>
        <w:pBdr>
          <w:top w:val="nil"/>
          <w:left w:val="nil"/>
          <w:bottom w:val="nil"/>
          <w:right w:val="nil"/>
          <w:between w:val="nil"/>
        </w:pBdr>
        <w:spacing w:after="0" w:line="240" w:lineRule="auto"/>
        <w:ind w:firstLine="720"/>
        <w:jc w:val="both"/>
        <w:rPr>
          <w:color w:val="000000"/>
        </w:rPr>
      </w:pPr>
      <w:r>
        <w:rPr>
          <w:color w:val="000000"/>
        </w:rPr>
        <w:t xml:space="preserve">- технічного і технологічного кругозору; </w:t>
      </w:r>
    </w:p>
    <w:p w:rsidR="00F94B52" w:rsidRDefault="000E3C9E">
      <w:pPr>
        <w:pBdr>
          <w:top w:val="nil"/>
          <w:left w:val="nil"/>
          <w:bottom w:val="nil"/>
          <w:right w:val="nil"/>
          <w:between w:val="nil"/>
        </w:pBdr>
        <w:spacing w:after="0" w:line="240" w:lineRule="auto"/>
        <w:ind w:firstLine="720"/>
        <w:jc w:val="both"/>
        <w:rPr>
          <w:color w:val="000000"/>
        </w:rPr>
      </w:pPr>
      <w:r>
        <w:rPr>
          <w:color w:val="000000"/>
        </w:rPr>
        <w:t xml:space="preserve">- культури праці та побуту; </w:t>
      </w:r>
    </w:p>
    <w:p w:rsidR="00F94B52" w:rsidRDefault="000E3C9E">
      <w:pPr>
        <w:pBdr>
          <w:top w:val="nil"/>
          <w:left w:val="nil"/>
          <w:bottom w:val="nil"/>
          <w:right w:val="nil"/>
          <w:between w:val="nil"/>
        </w:pBdr>
        <w:spacing w:after="0" w:line="240" w:lineRule="auto"/>
        <w:ind w:firstLine="720"/>
        <w:jc w:val="both"/>
        <w:rPr>
          <w:color w:val="000000"/>
        </w:rPr>
      </w:pPr>
      <w:r>
        <w:rPr>
          <w:color w:val="000000"/>
        </w:rPr>
        <w:t xml:space="preserve">- самостійного та критичного мислення; </w:t>
      </w:r>
    </w:p>
    <w:p w:rsidR="00F94B52" w:rsidRDefault="000E3C9E">
      <w:pPr>
        <w:pBdr>
          <w:top w:val="nil"/>
          <w:left w:val="nil"/>
          <w:bottom w:val="nil"/>
          <w:right w:val="nil"/>
          <w:between w:val="nil"/>
        </w:pBdr>
        <w:spacing w:after="0" w:line="240" w:lineRule="auto"/>
        <w:ind w:firstLine="720"/>
        <w:jc w:val="both"/>
        <w:rPr>
          <w:b/>
          <w:color w:val="000000"/>
          <w:sz w:val="24"/>
          <w:szCs w:val="24"/>
        </w:rPr>
      </w:pPr>
      <w:r>
        <w:rPr>
          <w:color w:val="000000"/>
        </w:rPr>
        <w:t xml:space="preserve">- розвитку особистісних якостей, потрібних людині як суб’єкту сучасного виробництва і культурного розвитку суспільства, виховання відповідальності за результати власної діяльності. </w:t>
      </w:r>
    </w:p>
    <w:p w:rsidR="00F94B52" w:rsidRDefault="000E3C9E">
      <w:pPr>
        <w:ind w:firstLine="708"/>
        <w:jc w:val="both"/>
      </w:pPr>
      <w:r>
        <w:t xml:space="preserve">У 2021/2022 навчальному році відповідно до типових  освітніх програм для закладів загальної середньої освіти на вивчення предмета у 5 – 6 класах відводиться 2 год. на тиждень, у 7 – 9 класах – 1 год. на тиждень. 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За рахунок таких годин також можливе впровадження курсів за вибором технологічного спрямування. </w:t>
      </w:r>
    </w:p>
    <w:p w:rsidR="00F94B52" w:rsidRDefault="000E3C9E">
      <w:pPr>
        <w:ind w:firstLine="708"/>
        <w:jc w:val="both"/>
      </w:pPr>
      <w:r>
        <w:t xml:space="preserve">Вивчення трудового навчання здійснюватиметься за навчальною програмою, затвердженою наказом МОН від 07.06.2017 № 804. Програму розміщено на офіційному вебсайті міністерства за покликанням </w:t>
      </w:r>
      <w:hyperlink r:id="rId5">
        <w:r>
          <w:rPr>
            <w:color w:val="0563C1"/>
            <w:u w:val="single"/>
          </w:rPr>
          <w:t>http://mon.gov.ua/activity/education/zagalna-serednya/navchalni-programy.html</w:t>
        </w:r>
      </w:hyperlink>
      <w:hyperlink r:id="rId6">
        <w:r>
          <w:rPr>
            <w:b/>
            <w:color w:val="0563C1"/>
            <w:u w:val="single"/>
          </w:rPr>
          <w:t>)</w:t>
        </w:r>
      </w:hyperlink>
      <w:r>
        <w:t xml:space="preserve">. </w:t>
      </w:r>
    </w:p>
    <w:p w:rsidR="00F94B52" w:rsidRDefault="000E3C9E">
      <w:pPr>
        <w:jc w:val="both"/>
      </w:pPr>
      <w:r>
        <w:t xml:space="preserve">Навчальна програма зорієнтована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  </w:t>
      </w:r>
    </w:p>
    <w:p w:rsidR="00F94B52" w:rsidRDefault="000E3C9E">
      <w:pPr>
        <w:jc w:val="both"/>
      </w:pPr>
      <w:r>
        <w:t xml:space="preserve">Провідним завданням учителя є реалізація очікуваних результатів навчально-пізнавальної діяльності учнів, які виписані таким чином, щоб вони були спільними для учнів, які навчаються в класах із поділом на групи і без такого поділу. При цьому, шлях досягнення результатів визначає учитель відповідно </w:t>
      </w:r>
      <w:r>
        <w:lastRenderedPageBreak/>
        <w:t xml:space="preserve">до матеріально-технічних можливостей шкільної майстерні, інтересів і здібностей учнів, фахової підготовки самого учителя.  </w:t>
      </w:r>
    </w:p>
    <w:p w:rsidR="00F94B52" w:rsidRDefault="000E3C9E">
      <w:pPr>
        <w:ind w:firstLine="708"/>
        <w:jc w:val="both"/>
      </w:pPr>
      <w:r>
        <w:t xml:space="preserve">Очікувані результати мають бути досягнуті на кінець навчального року. Вчитель може планувати їх досягнення чи при опрацюванні одного проєкта (наприклад: розрізняє деталі за способом отримання. 6 кл), чи поетапне їх досягнення при виконанні окремихпроєктів. (Очікування «Розраховує та планує орієнтовну вартість витрачених матеріалів» 8 кл. можна розділити на: обраховує вартість затрачених матеріалів – розраховує потребу матеріалів на проєкт -  розраховує та планує орієнтовну вартість витрачених матеріалів) чи досягнення при використанні різних технологій обробки (Знає будову та принцип дії інструментів, пристосувань та обладнання для обробки конструкційних матеріалів. 7 кл.)  </w:t>
      </w:r>
    </w:p>
    <w:p w:rsidR="00F94B52" w:rsidRDefault="000E3C9E">
      <w:pPr>
        <w:ind w:firstLine="708"/>
        <w:jc w:val="both"/>
      </w:pPr>
      <w:r>
        <w:t xml:space="preserve">Орієнтовний перелік об'єктів проєктно-технологічної діяльності     учнів – це навчальні та творчі проєкти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F94B52" w:rsidRDefault="000E3C9E">
      <w:pPr>
        <w:jc w:val="both"/>
      </w:pPr>
      <w:r>
        <w:t xml:space="preserve">Формування змісту технологічної діяльності учнів на уроках трудового навчання здійснюється саме на основі об’єктів проєктної діяльності, а не технологій. Це дає змогу одночасно проєктувати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 </w:t>
      </w:r>
    </w:p>
    <w:p w:rsidR="00F94B52" w:rsidRDefault="000E3C9E">
      <w:pPr>
        <w:jc w:val="both"/>
      </w:pPr>
      <w:r>
        <w:t xml:space="preserve">Перелік </w:t>
      </w:r>
      <w:r>
        <w:tab/>
        <w:t xml:space="preserve">об’єктів </w:t>
      </w:r>
      <w:r>
        <w:tab/>
        <w:t xml:space="preserve">проєктно-технологічної </w:t>
      </w:r>
      <w:r>
        <w:tab/>
        <w:t xml:space="preserve">діяльності </w:t>
      </w:r>
      <w:r>
        <w:tab/>
        <w:t xml:space="preserve">учнів </w:t>
      </w:r>
      <w:r>
        <w:tab/>
        <w:t xml:space="preserve">є орієнтовним та може бути доповнений виробами (проєктами) відповідно до матеріально-технічної бази та вподобань учнів. </w:t>
      </w:r>
    </w:p>
    <w:p w:rsidR="00F94B52" w:rsidRDefault="000E3C9E">
      <w:pPr>
        <w:ind w:firstLine="708"/>
        <w:jc w:val="both"/>
      </w:pPr>
      <w:r>
        <w:t xml:space="preserve">Результатом проєктно-технологічної діяльності учнів має бути </w:t>
      </w:r>
      <w:r>
        <w:rPr>
          <w:b/>
        </w:rPr>
        <w:t>проєкт</w:t>
      </w:r>
      <w:r>
        <w:t xml:space="preserve">(спроєктований і виготовлений виріб чи послуга). Орієнтовна кількість проєктів, що освоюються в кожному класі визначається навчальною програмою. Важливою складовою виконання учнівських проєктів є їх публічний захист, на якому учні доносять інформацію про свою роботу (формування ідеї, процес виготовлення, апробація, удосконалення, важливість роботи, подальше застосування тощо) доступними для них засобами (презентація, графічні зображення, усне пояснення тощо). При захисті проєктів важливо, щоб інші учні та вчитель задавали запитання, які спонукатимуть до аргументації прийняття тих чи інших рішень при виконанні роботи. Це важливо для формування таких важливих навичок як висловлювати свою думку, відстоювати свою позицію, вміння вести дискусію, критичне мислення.  </w:t>
      </w:r>
    </w:p>
    <w:p w:rsidR="00F94B52" w:rsidRDefault="000E3C9E">
      <w:pPr>
        <w:jc w:val="both"/>
      </w:pPr>
      <w:r>
        <w:t xml:space="preserve">Важливим критерієм вибору проєкту є його значущість для учня (можливість  використання виробу в побуті, для хобі або реалізації виробів на шкільних </w:t>
      </w:r>
      <w:r>
        <w:lastRenderedPageBreak/>
        <w:t xml:space="preserve">ярмарках, аукціонах тощо). Неприпустимим є проєктування та виготовлення виробу тільки для опанування технології.  </w:t>
      </w:r>
    </w:p>
    <w:p w:rsidR="00F94B52" w:rsidRDefault="000E3C9E">
      <w:pPr>
        <w:jc w:val="both"/>
      </w:pPr>
      <w:r>
        <w:t xml:space="preserve">У класах, що не поділяються на групи, під час вибору об'єкта проєктнотехнологічної діяльності варто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 </w:t>
      </w:r>
    </w:p>
    <w:p w:rsidR="00F94B52" w:rsidRDefault="000E3C9E">
      <w:pPr>
        <w:jc w:val="both"/>
      </w:pPr>
      <w:r>
        <w:t xml:space="preserve">При плануванні навчального процесу учитель самостійно формує теми, які учням необхідно засвоїти, зважаючи на обрані для виготовлення об'єкти проєктування,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 </w:t>
      </w:r>
    </w:p>
    <w:p w:rsidR="00F94B52" w:rsidRDefault="000E3C9E">
      <w:pPr>
        <w:jc w:val="both"/>
      </w:pPr>
      <w:r>
        <w:t xml:space="preserve">Для складання календарно-тематичного планування, визначення змісту навчального матеріалу рекомендуємо слідувати такому алгоритму: </w:t>
      </w:r>
    </w:p>
    <w:p w:rsidR="00F94B52" w:rsidRDefault="000E3C9E">
      <w:pPr>
        <w:numPr>
          <w:ilvl w:val="0"/>
          <w:numId w:val="1"/>
        </w:numPr>
        <w:jc w:val="both"/>
      </w:pPr>
      <w:r>
        <w:t xml:space="preserve">Обрати об’єкти проєктно-технологічної діяльності учнів (проєкти) та визначити їх кількість; </w:t>
      </w:r>
    </w:p>
    <w:p w:rsidR="00F94B52" w:rsidRDefault="000E3C9E">
      <w:pPr>
        <w:numPr>
          <w:ilvl w:val="0"/>
          <w:numId w:val="1"/>
        </w:numPr>
        <w:jc w:val="both"/>
      </w:pPr>
      <w:r>
        <w:t xml:space="preserve">Обрати основні та, за потреби, додаткові технології для проєктування й виготовлення кожного обраного виробу; </w:t>
      </w:r>
    </w:p>
    <w:p w:rsidR="00F94B52" w:rsidRDefault="000E3C9E">
      <w:pPr>
        <w:numPr>
          <w:ilvl w:val="0"/>
          <w:numId w:val="1"/>
        </w:numPr>
        <w:jc w:val="both"/>
      </w:pPr>
      <w:r>
        <w:t xml:space="preserve">Спланувати очікувані результати навчально-пізнавальної діяльності учнів; </w:t>
      </w:r>
    </w:p>
    <w:p w:rsidR="00F94B52" w:rsidRDefault="000E3C9E">
      <w:pPr>
        <w:numPr>
          <w:ilvl w:val="0"/>
          <w:numId w:val="1"/>
        </w:numPr>
        <w:jc w:val="both"/>
      </w:pPr>
      <w:r>
        <w:t xml:space="preserve">Визначити орієнтовну кількість годин, необхідних для виконання кожного проєкту; </w:t>
      </w:r>
    </w:p>
    <w:p w:rsidR="00F94B52" w:rsidRDefault="000E3C9E">
      <w:pPr>
        <w:numPr>
          <w:ilvl w:val="0"/>
          <w:numId w:val="1"/>
        </w:numPr>
        <w:jc w:val="both"/>
      </w:pPr>
      <w:r>
        <w:t xml:space="preserve">Сформулювати теми та зміст уроків із проєктування та виготовлення кожного об’єкта проєктно-технологічної діяльності учнів; </w:t>
      </w:r>
    </w:p>
    <w:p w:rsidR="00F94B52" w:rsidRDefault="000E3C9E">
      <w:pPr>
        <w:numPr>
          <w:ilvl w:val="0"/>
          <w:numId w:val="1"/>
        </w:numPr>
        <w:jc w:val="both"/>
      </w:pPr>
      <w:r>
        <w:t xml:space="preserve">Спланувати теми та зміст уроків із технології побутової діяльності та самообслуговування. </w:t>
      </w:r>
    </w:p>
    <w:p w:rsidR="00F94B52" w:rsidRDefault="000E3C9E">
      <w:pPr>
        <w:ind w:firstLine="708"/>
        <w:jc w:val="both"/>
      </w:pPr>
      <w:r>
        <w:t xml:space="preserve">Поділ класів на групи технічних і обслуговуючих видів праці відбувається за бажанням учнів та здійснюється відповідно до нормативів, затверджених наказом МОН від 20.02.2002 № 128, а саме, за наявності в класі більше 27 учнів для міських шкіл та більше 25 для сільських. Якщо кількість учнів у класі не дає змоги здійснити поділ на групи,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згідно з рішеннями місцевих органів виконавчої влади або органів місцевого самоврядування класи можуть ділитися на групи і при меншій наповнюваності </w:t>
      </w:r>
      <w:r>
        <w:lastRenderedPageBreak/>
        <w:t xml:space="preserve">від нормативної за рахунок зекономлених бюджетних асигнувань та залучення додаткових коштів. </w:t>
      </w:r>
    </w:p>
    <w:p w:rsidR="00F94B52" w:rsidRDefault="000E3C9E">
      <w:pPr>
        <w:jc w:val="both"/>
      </w:pPr>
      <w:r>
        <w:t xml:space="preserve">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 </w:t>
      </w:r>
    </w:p>
    <w:p w:rsidR="00F94B52" w:rsidRDefault="000E3C9E">
      <w:pPr>
        <w:jc w:val="center"/>
      </w:pPr>
      <w:r>
        <w:rPr>
          <w:b/>
        </w:rPr>
        <w:t>Технології 10-11 класи (рівень стандарту)</w:t>
      </w:r>
    </w:p>
    <w:p w:rsidR="00F94B52" w:rsidRDefault="000E3C9E">
      <w:pPr>
        <w:jc w:val="both"/>
      </w:pPr>
      <w:r>
        <w:t xml:space="preserve">У 10-11 класах Типовими освітніми програмами навчальний предмет технології віднесено до вибірково-обов’язкових. Якщо школа обрала технології, то на освоєння предмета відводиться 105 годин в 10 чи 11 класах. Можливі також варіанти, за якими ці 105 годин освоюються в 10 і в 11 класах (70+35 чи 35+70).  </w:t>
      </w:r>
    </w:p>
    <w:p w:rsidR="00F94B52" w:rsidRDefault="000E3C9E">
      <w:pPr>
        <w:jc w:val="both"/>
      </w:pPr>
      <w:r>
        <w:t xml:space="preserve">Навчання здійснюється за програмою, затвердженою наказом МОН від 23.10.2017 № 1407, яка розміщена на офіційному вебсайті міністерства за покликом </w:t>
      </w:r>
      <w:hyperlink r:id="rId7">
        <w:r>
          <w:rPr>
            <w:color w:val="0563C1"/>
            <w:u w:val="single"/>
          </w:rPr>
          <w:t>http://mon.gov.ua/activity/education/zagalna</w:t>
        </w:r>
      </w:hyperlink>
      <w:hyperlink r:id="rId8">
        <w:r>
          <w:rPr>
            <w:color w:val="0563C1"/>
            <w:u w:val="single"/>
          </w:rPr>
          <w:t>-serednya/navchalniprogramy.html</w:t>
        </w:r>
      </w:hyperlink>
      <w:hyperlink r:id="rId9">
        <w:r>
          <w:rPr>
            <w:b/>
            <w:color w:val="0563C1"/>
            <w:u w:val="single"/>
          </w:rPr>
          <w:t>)</w:t>
        </w:r>
      </w:hyperlink>
      <w:r>
        <w:rPr>
          <w:b/>
        </w:rPr>
        <w:t xml:space="preserve">. </w:t>
      </w:r>
    </w:p>
    <w:p w:rsidR="00F94B52" w:rsidRDefault="000E3C9E">
      <w:pPr>
        <w:jc w:val="both"/>
      </w:pPr>
      <w:r>
        <w:t xml:space="preserve">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 </w:t>
      </w:r>
    </w:p>
    <w:p w:rsidR="00F94B52" w:rsidRDefault="000E3C9E">
      <w:pPr>
        <w:jc w:val="both"/>
      </w:pPr>
      <w:r>
        <w:t xml:space="preserve">«Дизайн предметів інтер’єру», </w:t>
      </w:r>
    </w:p>
    <w:p w:rsidR="00F94B52" w:rsidRDefault="000E3C9E">
      <w:pPr>
        <w:jc w:val="both"/>
      </w:pPr>
      <w:r>
        <w:t xml:space="preserve">«Техніки декоративно-ужиткового мистецтва», </w:t>
      </w:r>
    </w:p>
    <w:p w:rsidR="00F94B52" w:rsidRDefault="000E3C9E">
      <w:pPr>
        <w:jc w:val="both"/>
      </w:pPr>
      <w:r>
        <w:t xml:space="preserve">«Дизайн сучасного одягу», </w:t>
      </w:r>
    </w:p>
    <w:p w:rsidR="00F94B52" w:rsidRDefault="000E3C9E">
      <w:pPr>
        <w:jc w:val="both"/>
      </w:pPr>
      <w:r>
        <w:t xml:space="preserve">«Краса та здоров’я», </w:t>
      </w:r>
    </w:p>
    <w:p w:rsidR="00F94B52" w:rsidRDefault="000E3C9E">
      <w:pPr>
        <w:jc w:val="both"/>
      </w:pPr>
      <w:r>
        <w:t xml:space="preserve">«Кулінарія», </w:t>
      </w:r>
    </w:p>
    <w:p w:rsidR="00F94B52" w:rsidRDefault="000E3C9E">
      <w:pPr>
        <w:jc w:val="both"/>
      </w:pPr>
      <w:r>
        <w:t xml:space="preserve">«Ландшафтний дизайн», </w:t>
      </w:r>
    </w:p>
    <w:p w:rsidR="00F94B52" w:rsidRDefault="000E3C9E">
      <w:pPr>
        <w:jc w:val="both"/>
      </w:pPr>
      <w:r>
        <w:t xml:space="preserve">«Основи підприємницької діяльності», </w:t>
      </w:r>
    </w:p>
    <w:p w:rsidR="00F94B52" w:rsidRDefault="000E3C9E">
      <w:pPr>
        <w:jc w:val="both"/>
      </w:pPr>
      <w:r>
        <w:t xml:space="preserve">«Основи автоматики і робототехніки», «Комп’ютерне проєктування», «Креслення». </w:t>
      </w:r>
    </w:p>
    <w:p w:rsidR="00F94B52" w:rsidRDefault="000E3C9E">
      <w:pPr>
        <w:jc w:val="both"/>
      </w:pPr>
      <w:r>
        <w:t xml:space="preserve">Навчальний модуль, за своїм змістовим наповненням, є логічно завершеним навчальним (творчим) проєктом, який учні виконують колективно або за іншою формою визначеною учителем. Кількість годин, що відводиться на вивчення кожного з трьох обраних модулів, учитель визначає самостійно з урахуванням особливостей проєктної діяльності учнів, матеріальних можливостей школи тощо.  </w:t>
      </w:r>
    </w:p>
    <w:p w:rsidR="00F94B52" w:rsidRDefault="000E3C9E">
      <w:pPr>
        <w:jc w:val="center"/>
      </w:pPr>
      <w:r>
        <w:rPr>
          <w:b/>
        </w:rPr>
        <w:t>Технології 10-11 клас (профільний рівень)</w:t>
      </w:r>
    </w:p>
    <w:p w:rsidR="00F94B52" w:rsidRDefault="000E3C9E">
      <w:pPr>
        <w:jc w:val="both"/>
      </w:pPr>
      <w:r>
        <w:lastRenderedPageBreak/>
        <w:t xml:space="preserve">Типовими освітніми програмами передбачається по 6 годин на вивчення предмета у 10 та 11 класах. Навчання здійснюється за однією з профільних програм, що розміщені на офіційному сайті міністерства за покликом </w:t>
      </w:r>
      <w:hyperlink r:id="rId10">
        <w:r>
          <w:rPr>
            <w:color w:val="0563C1"/>
            <w:u w:val="single"/>
          </w:rPr>
          <w:t xml:space="preserve">http://mon.gov.ua/activity/education/zagalna-serednya/navchalni-programy.html </w:t>
        </w:r>
      </w:hyperlink>
      <w:r>
        <w:t xml:space="preserve">чи за програмами професійного навчання, затвердженими МОН від 23.09.2010 № 904 з використанням, за потреби, часу навчальної практики у 10 класі. </w:t>
      </w:r>
    </w:p>
    <w:p w:rsidR="00F94B52" w:rsidRDefault="000E3C9E">
      <w:pPr>
        <w:jc w:val="both"/>
      </w:pPr>
      <w:r>
        <w:t xml:space="preserve">Здійснення професійно-технічного навчання в закладах загальної середньої освіти та міжшкільних навчально-виробничих комбінатах (міжшкільних ресурсних центрах) можливе і за іншими професіями, за умови дотримання вимог Державних стандартів професійно-технічної освіти. </w:t>
      </w:r>
    </w:p>
    <w:p w:rsidR="00F94B52" w:rsidRDefault="000E3C9E">
      <w:pPr>
        <w:jc w:val="both"/>
      </w:pPr>
      <w: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F94B52" w:rsidRDefault="000E3C9E">
      <w:pPr>
        <w:jc w:val="both"/>
      </w:pPr>
      <w:r>
        <w:t xml:space="preserve"> 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w:t>
      </w:r>
    </w:p>
    <w:p w:rsidR="00F94B52" w:rsidRDefault="000E3C9E">
      <w:pPr>
        <w:jc w:val="both"/>
      </w:pPr>
      <w:r>
        <w:t xml:space="preserve">Курси за вибором «Професійні проби» можуть освоюватися за рахунок варіативної складової навчальних планів учнями, які навчаються за будь-яким профілем.  </w:t>
      </w:r>
    </w:p>
    <w:p w:rsidR="00F94B52" w:rsidRDefault="000E3C9E">
      <w:pPr>
        <w:jc w:val="center"/>
        <w:rPr>
          <w:b/>
        </w:rPr>
      </w:pPr>
      <w:r>
        <w:rPr>
          <w:b/>
        </w:rPr>
        <w:t>Креслення</w:t>
      </w:r>
    </w:p>
    <w:p w:rsidR="00F94B52" w:rsidRDefault="000E3C9E">
      <w:pPr>
        <w:ind w:firstLine="708"/>
        <w:jc w:val="both"/>
      </w:pPr>
      <w:r>
        <w:t xml:space="preserve">Важливою складовою технологічної підготовки школярів є знання ними основ графічної грамоти. Вивчення курсу креслення можливе в 11 класах технологічного профілю в обсязі 2 год. на тиждень за навчальною програмою «Креслення. 11 клас» для закладів загальної середньої освіти (лист ІМЗО від 25.09.2018 № 22.1/12-Г-906). </w:t>
      </w:r>
    </w:p>
    <w:p w:rsidR="00F94B52" w:rsidRDefault="000E3C9E">
      <w:pPr>
        <w:jc w:val="both"/>
      </w:pPr>
      <w:r>
        <w:t xml:space="preserve">У 8-11 класах креслення може вивчатися як курс за вибором за навчальною програмою «Креслення» для закладів загальної середньої освіти (лист ІМЗО від 08.11. 2019 р. № 22.1/12-Г-10550), або, за наявної технічної можливості, за програмою курсу за вибором «Професійні проби» для учнів 811класів «Технічне креслення на базі комп’ютерних програм» (лист ІМЗО від 09.06.2020 № 22.1/12-Г-346).  </w:t>
      </w:r>
    </w:p>
    <w:p w:rsidR="00F94B52" w:rsidRDefault="000E3C9E">
      <w:pPr>
        <w:jc w:val="both"/>
      </w:pPr>
      <w:r>
        <w:t xml:space="preserve">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(лист ІМЗО від 25.09.2018 № 22.1/12-Г-904). </w:t>
      </w:r>
    </w:p>
    <w:p w:rsidR="00F94B52" w:rsidRDefault="000E3C9E">
      <w:pPr>
        <w:jc w:val="both"/>
      </w:pPr>
      <w:bookmarkStart w:id="0" w:name="_gjdgxs" w:colFirst="0" w:colLast="0"/>
      <w:bookmarkEnd w:id="0"/>
      <w:r>
        <w:rPr>
          <w:color w:val="000000"/>
          <w:highlight w:val="white"/>
        </w:rPr>
        <w:t xml:space="preserve">Враховуючи вище викладене, пропонуємо розглянути подані матеріали на засіданнях об’єднаних територіальних громад/міських методичних об’єднань </w:t>
      </w:r>
      <w:r>
        <w:rPr>
          <w:color w:val="000000"/>
          <w:highlight w:val="white"/>
        </w:rPr>
        <w:lastRenderedPageBreak/>
        <w:t>учителів трудового навчання (технології), креслення та прийняти відповідні рекомендації стосовно підвищення ефективності викладання трудового навчання (технології), креслення у </w:t>
      </w:r>
      <w:r>
        <w:rPr>
          <w:color w:val="000000"/>
        </w:rPr>
        <w:t>2021</w:t>
      </w:r>
      <w:r>
        <w:rPr>
          <w:color w:val="000000"/>
          <w:highlight w:val="white"/>
        </w:rPr>
        <w:t>/</w:t>
      </w:r>
      <w:r>
        <w:rPr>
          <w:color w:val="000000"/>
        </w:rPr>
        <w:t>2022</w:t>
      </w:r>
      <w:r>
        <w:rPr>
          <w:color w:val="000000"/>
          <w:highlight w:val="white"/>
        </w:rPr>
        <w:t> навчальному році, стежити за інформацією на сайтах МОН, ІМЗО, ДОН, ІППОЧО, яка може бути оновлена.</w:t>
      </w:r>
    </w:p>
    <w:p w:rsidR="00F94B52" w:rsidRDefault="00F94B52">
      <w:pPr>
        <w:jc w:val="both"/>
      </w:pPr>
    </w:p>
    <w:p w:rsidR="00F94B52" w:rsidRDefault="00F94B52">
      <w:pPr>
        <w:jc w:val="both"/>
      </w:pPr>
    </w:p>
    <w:sectPr w:rsidR="00F94B52" w:rsidSect="00535FEB">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1D08"/>
    <w:multiLevelType w:val="multilevel"/>
    <w:tmpl w:val="F8F451C4"/>
    <w:lvl w:ilvl="0">
      <w:start w:val="1"/>
      <w:numFmt w:val="decimal"/>
      <w:lvlText w:val="%1."/>
      <w:lvlJc w:val="left"/>
      <w:pPr>
        <w:ind w:left="139" w:hanging="139"/>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932" w:hanging="1932"/>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652" w:hanging="2652"/>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3372" w:hanging="3372"/>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4092" w:hanging="4092"/>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812" w:hanging="4812"/>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532" w:hanging="5532"/>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6252" w:hanging="6252"/>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972" w:hanging="6972"/>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4B52"/>
    <w:rsid w:val="000E3C9E"/>
    <w:rsid w:val="00527A6B"/>
    <w:rsid w:val="00535FEB"/>
    <w:rsid w:val="00F94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EB"/>
  </w:style>
  <w:style w:type="paragraph" w:styleId="1">
    <w:name w:val="heading 1"/>
    <w:basedOn w:val="a"/>
    <w:next w:val="a"/>
    <w:uiPriority w:val="9"/>
    <w:qFormat/>
    <w:rsid w:val="00535FEB"/>
    <w:pPr>
      <w:keepNext/>
      <w:keepLines/>
      <w:spacing w:before="480" w:after="120"/>
      <w:outlineLvl w:val="0"/>
    </w:pPr>
    <w:rPr>
      <w:b/>
      <w:sz w:val="48"/>
      <w:szCs w:val="48"/>
    </w:rPr>
  </w:style>
  <w:style w:type="paragraph" w:styleId="2">
    <w:name w:val="heading 2"/>
    <w:basedOn w:val="a"/>
    <w:next w:val="a"/>
    <w:uiPriority w:val="9"/>
    <w:semiHidden/>
    <w:unhideWhenUsed/>
    <w:qFormat/>
    <w:rsid w:val="00535FEB"/>
    <w:pPr>
      <w:keepNext/>
      <w:keepLines/>
      <w:spacing w:before="360" w:after="80"/>
      <w:outlineLvl w:val="1"/>
    </w:pPr>
    <w:rPr>
      <w:b/>
      <w:sz w:val="36"/>
      <w:szCs w:val="36"/>
    </w:rPr>
  </w:style>
  <w:style w:type="paragraph" w:styleId="3">
    <w:name w:val="heading 3"/>
    <w:basedOn w:val="a"/>
    <w:next w:val="a"/>
    <w:uiPriority w:val="9"/>
    <w:semiHidden/>
    <w:unhideWhenUsed/>
    <w:qFormat/>
    <w:rsid w:val="00535FEB"/>
    <w:pPr>
      <w:keepNext/>
      <w:keepLines/>
      <w:spacing w:before="280" w:after="80"/>
      <w:outlineLvl w:val="2"/>
    </w:pPr>
    <w:rPr>
      <w:b/>
    </w:rPr>
  </w:style>
  <w:style w:type="paragraph" w:styleId="4">
    <w:name w:val="heading 4"/>
    <w:basedOn w:val="a"/>
    <w:next w:val="a"/>
    <w:uiPriority w:val="9"/>
    <w:semiHidden/>
    <w:unhideWhenUsed/>
    <w:qFormat/>
    <w:rsid w:val="00535FEB"/>
    <w:pPr>
      <w:keepNext/>
      <w:keepLines/>
      <w:spacing w:before="240" w:after="40"/>
      <w:outlineLvl w:val="3"/>
    </w:pPr>
    <w:rPr>
      <w:b/>
      <w:sz w:val="24"/>
      <w:szCs w:val="24"/>
    </w:rPr>
  </w:style>
  <w:style w:type="paragraph" w:styleId="5">
    <w:name w:val="heading 5"/>
    <w:basedOn w:val="a"/>
    <w:next w:val="a"/>
    <w:uiPriority w:val="9"/>
    <w:semiHidden/>
    <w:unhideWhenUsed/>
    <w:qFormat/>
    <w:rsid w:val="00535FEB"/>
    <w:pPr>
      <w:keepNext/>
      <w:keepLines/>
      <w:spacing w:before="220" w:after="40"/>
      <w:outlineLvl w:val="4"/>
    </w:pPr>
    <w:rPr>
      <w:b/>
      <w:sz w:val="22"/>
      <w:szCs w:val="22"/>
    </w:rPr>
  </w:style>
  <w:style w:type="paragraph" w:styleId="6">
    <w:name w:val="heading 6"/>
    <w:basedOn w:val="a"/>
    <w:next w:val="a"/>
    <w:uiPriority w:val="9"/>
    <w:semiHidden/>
    <w:unhideWhenUsed/>
    <w:qFormat/>
    <w:rsid w:val="00535FE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35FEB"/>
    <w:tblPr>
      <w:tblCellMar>
        <w:top w:w="0" w:type="dxa"/>
        <w:left w:w="0" w:type="dxa"/>
        <w:bottom w:w="0" w:type="dxa"/>
        <w:right w:w="0" w:type="dxa"/>
      </w:tblCellMar>
    </w:tblPr>
  </w:style>
  <w:style w:type="paragraph" w:styleId="a3">
    <w:name w:val="Title"/>
    <w:basedOn w:val="a"/>
    <w:next w:val="a"/>
    <w:uiPriority w:val="10"/>
    <w:qFormat/>
    <w:rsid w:val="00535FEB"/>
    <w:pPr>
      <w:keepNext/>
      <w:keepLines/>
      <w:spacing w:before="480" w:after="120"/>
    </w:pPr>
    <w:rPr>
      <w:b/>
      <w:sz w:val="72"/>
      <w:szCs w:val="72"/>
    </w:rPr>
  </w:style>
  <w:style w:type="paragraph" w:styleId="a4">
    <w:name w:val="Subtitle"/>
    <w:basedOn w:val="a"/>
    <w:next w:val="a"/>
    <w:uiPriority w:val="11"/>
    <w:qFormat/>
    <w:rsid w:val="00535FE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activity/education/zagalna-serednya/navchalni-programy.html" TargetMode="External"/><Relationship Id="rId3" Type="http://schemas.openxmlformats.org/officeDocument/2006/relationships/settings" Target="settings.xml"/><Relationship Id="rId7" Type="http://schemas.openxmlformats.org/officeDocument/2006/relationships/hyperlink" Target="http://mon.gov.ua/activity/education/zagal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y.html" TargetMode="External"/><Relationship Id="rId11" Type="http://schemas.openxmlformats.org/officeDocument/2006/relationships/fontTable" Target="fontTable.xml"/><Relationship Id="rId5" Type="http://schemas.openxmlformats.org/officeDocument/2006/relationships/hyperlink" Target="http://mon.gov.ua/activity/education/zagalna-serednya/navchalni-programy.html" TargetMode="External"/><Relationship Id="rId10" Type="http://schemas.openxmlformats.org/officeDocument/2006/relationships/hyperlink" Target="http://mon.gov.ua/activity/education/zagalna-serednya/navchalni-programy.html" TargetMode="External"/><Relationship Id="rId4" Type="http://schemas.openxmlformats.org/officeDocument/2006/relationships/webSettings" Target="webSettings.xml"/><Relationship Id="rId9" Type="http://schemas.openxmlformats.org/officeDocument/2006/relationships/hyperlink" Target="http://mon.gov.ua/activity/education/zagalna-serednya/navchalni-progra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10557</Characters>
  <Application>Microsoft Office Word</Application>
  <DocSecurity>0</DocSecurity>
  <Lines>87</Lines>
  <Paragraphs>24</Paragraphs>
  <ScaleCrop>false</ScaleCrop>
  <Company>Reanimator Extreme Edition</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ЛВ</dc:creator>
  <cp:lastModifiedBy>ЛВ</cp:lastModifiedBy>
  <cp:revision>2</cp:revision>
  <dcterms:created xsi:type="dcterms:W3CDTF">2021-08-18T12:15:00Z</dcterms:created>
  <dcterms:modified xsi:type="dcterms:W3CDTF">2021-08-18T12:15:00Z</dcterms:modified>
</cp:coreProperties>
</file>